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023B9">
      <w:pPr>
        <w:spacing w:line="720" w:lineRule="exact"/>
        <w:jc w:val="center"/>
        <w:rPr>
          <w:rFonts w:ascii="方正小标宋简体" w:eastAsia="方正小标宋简体"/>
          <w:b/>
          <w:color w:val="auto"/>
          <w:sz w:val="36"/>
          <w:szCs w:val="36"/>
        </w:rPr>
      </w:pPr>
      <w:r>
        <w:rPr>
          <w:rFonts w:hint="eastAsia" w:ascii="方正小标宋简体" w:eastAsia="方正小标宋简体"/>
          <w:b/>
          <w:color w:val="auto"/>
          <w:sz w:val="36"/>
          <w:szCs w:val="36"/>
        </w:rPr>
        <w:t>南京医科大学</w:t>
      </w:r>
      <w:bookmarkStart w:id="0" w:name="OLE_LINK1"/>
      <w:r>
        <w:rPr>
          <w:rFonts w:hint="eastAsia" w:ascii="方正小标宋简体" w:eastAsia="方正小标宋简体"/>
          <w:b/>
          <w:color w:val="auto"/>
          <w:sz w:val="36"/>
          <w:szCs w:val="36"/>
        </w:rPr>
        <w:t>基础医</w:t>
      </w:r>
      <w:bookmarkEnd w:id="0"/>
      <w:r>
        <w:rPr>
          <w:rFonts w:hint="eastAsia" w:ascii="方正小标宋简体" w:eastAsia="方正小标宋简体"/>
          <w:b/>
          <w:color w:val="auto"/>
          <w:sz w:val="36"/>
          <w:szCs w:val="36"/>
        </w:rPr>
        <w:t>学院2026年博士研究生招生</w:t>
      </w:r>
    </w:p>
    <w:p w14:paraId="3842AE38">
      <w:pPr>
        <w:spacing w:afterLines="100" w:line="720" w:lineRule="exact"/>
        <w:jc w:val="center"/>
        <w:rPr>
          <w:rFonts w:ascii="方正小标宋简体" w:eastAsia="方正小标宋简体"/>
          <w:b/>
          <w:color w:val="auto"/>
          <w:sz w:val="36"/>
          <w:szCs w:val="36"/>
        </w:rPr>
      </w:pPr>
      <w:r>
        <w:rPr>
          <w:rFonts w:hint="eastAsia" w:ascii="方正小标宋简体" w:eastAsia="方正小标宋简体"/>
          <w:b/>
          <w:color w:val="auto"/>
          <w:sz w:val="36"/>
          <w:szCs w:val="36"/>
        </w:rPr>
        <w:t>“申请-考核”制实施细则</w:t>
      </w:r>
    </w:p>
    <w:p w14:paraId="633189D1">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根据学校《南京医科大学博士研究生招生“申请-考核”制实施办法(2024版)》（南医大研〔2024〕52号）、</w:t>
      </w:r>
      <w:bookmarkStart w:id="8" w:name="_GoBack"/>
      <w:bookmarkEnd w:id="8"/>
      <w:r>
        <w:rPr>
          <w:rFonts w:hint="eastAsia" w:ascii="仿宋" w:hAnsi="仿宋" w:eastAsia="仿宋"/>
          <w:color w:val="auto"/>
          <w:sz w:val="28"/>
          <w:szCs w:val="28"/>
        </w:rPr>
        <w:t>《南京医科大学关于进一步规范和加强博士研究生考试招生工作的通知》（南医大研〔2021〕34号）、《关于做好2026年全日制博士“申请-考核”制招生工作的通知》相关要求，制定基础医学院2026年博士研究生招生“申请-考核”制实施细则，具体如下：</w:t>
      </w:r>
    </w:p>
    <w:p w14:paraId="3CF826E8">
      <w:pPr>
        <w:pStyle w:val="2"/>
        <w:spacing w:line="560" w:lineRule="exact"/>
        <w:ind w:firstLine="0"/>
        <w:rPr>
          <w:rFonts w:eastAsia="仿宋"/>
          <w:b/>
          <w:bCs/>
          <w:color w:val="auto"/>
          <w:spacing w:val="5"/>
          <w:sz w:val="28"/>
          <w:szCs w:val="28"/>
        </w:rPr>
      </w:pPr>
      <w:r>
        <w:rPr>
          <w:rFonts w:hint="eastAsia" w:eastAsia="仿宋"/>
          <w:b/>
          <w:bCs/>
          <w:color w:val="auto"/>
          <w:spacing w:val="5"/>
          <w:sz w:val="28"/>
          <w:szCs w:val="28"/>
        </w:rPr>
        <w:t>一、申请条件及报考流程</w:t>
      </w:r>
    </w:p>
    <w:p w14:paraId="6FE121DB">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请仔细阅读《南京医科大学2026年全日制博士研究生招生简章及招生专业目录》，并按照《南京医科大学2026年全日制博士招生“申请-考核”制报考须知》要求进行网上报名并提交报考材料。</w:t>
      </w:r>
    </w:p>
    <w:p w14:paraId="7B1FC969">
      <w:pPr>
        <w:spacing w:line="560" w:lineRule="exact"/>
        <w:rPr>
          <w:rFonts w:eastAsia="楷体"/>
          <w:b/>
          <w:bCs/>
          <w:color w:val="auto"/>
          <w:spacing w:val="-4"/>
          <w:sz w:val="28"/>
          <w:szCs w:val="28"/>
        </w:rPr>
      </w:pPr>
      <w:r>
        <w:rPr>
          <w:rFonts w:hint="eastAsia" w:eastAsia="楷体"/>
          <w:b/>
          <w:bCs/>
          <w:color w:val="auto"/>
          <w:spacing w:val="-4"/>
          <w:sz w:val="28"/>
          <w:szCs w:val="28"/>
        </w:rPr>
        <w:t>二、</w:t>
      </w:r>
      <w:r>
        <w:rPr>
          <w:rFonts w:eastAsia="楷体"/>
          <w:b/>
          <w:bCs/>
          <w:color w:val="auto"/>
          <w:spacing w:val="-4"/>
          <w:sz w:val="28"/>
          <w:szCs w:val="28"/>
        </w:rPr>
        <w:t>资格初审</w:t>
      </w:r>
    </w:p>
    <w:p w14:paraId="5040A10D">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网上报名截止后5天内，</w:t>
      </w:r>
      <w:r>
        <w:rPr>
          <w:rFonts w:hint="eastAsia" w:ascii="仿宋" w:hAnsi="仿宋" w:eastAsia="仿宋"/>
          <w:color w:val="auto"/>
          <w:sz w:val="28"/>
          <w:szCs w:val="28"/>
        </w:rPr>
        <w:t>学院根据申请者所提交的材料，按照学校招生简章和学院实施细则相关要求对其报考资格进行初审，不符合报考条件者，不予准考。</w:t>
      </w:r>
    </w:p>
    <w:p w14:paraId="38373448">
      <w:pPr>
        <w:spacing w:line="560" w:lineRule="exact"/>
        <w:rPr>
          <w:rFonts w:eastAsia="楷体"/>
          <w:b/>
          <w:bCs/>
          <w:color w:val="auto"/>
          <w:spacing w:val="-4"/>
          <w:sz w:val="28"/>
          <w:szCs w:val="28"/>
        </w:rPr>
      </w:pPr>
      <w:r>
        <w:rPr>
          <w:rFonts w:hint="eastAsia" w:eastAsia="楷体"/>
          <w:b/>
          <w:bCs/>
          <w:color w:val="auto"/>
          <w:spacing w:val="-4"/>
          <w:sz w:val="28"/>
          <w:szCs w:val="28"/>
        </w:rPr>
        <w:t>三、</w:t>
      </w:r>
      <w:r>
        <w:rPr>
          <w:rFonts w:eastAsia="楷体"/>
          <w:b/>
          <w:bCs/>
          <w:color w:val="auto"/>
          <w:spacing w:val="-4"/>
          <w:sz w:val="28"/>
          <w:szCs w:val="28"/>
        </w:rPr>
        <w:t>材料评审</w:t>
      </w:r>
    </w:p>
    <w:p w14:paraId="6A5C7EF4">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资格初审通过后9天内，学院组织材料评审工作。</w:t>
      </w:r>
      <w:r>
        <w:rPr>
          <w:rFonts w:hint="eastAsia" w:ascii="仿宋" w:hAnsi="仿宋" w:eastAsia="仿宋"/>
          <w:color w:val="auto"/>
          <w:sz w:val="28"/>
          <w:szCs w:val="28"/>
        </w:rPr>
        <w:t>材料评审包含学术背景20%、学习成绩和外语水平20%、学术成果40%和综合素质20%。</w:t>
      </w:r>
    </w:p>
    <w:p w14:paraId="0BC8A541">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1．导师评审</w:t>
      </w:r>
    </w:p>
    <w:p w14:paraId="5877E62D">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导师对通过资格初审的所有申请者材料进行评审，可运用文献汇报或组会讨论等多种形式，全面考查考生学业水平和科研创新及实践能力，做出综合评价，给出百分制成绩。成绩不合格者（小于60分）不予进入综合考核。</w:t>
      </w:r>
    </w:p>
    <w:p w14:paraId="778A1BCB">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2．专家评审</w:t>
      </w:r>
    </w:p>
    <w:p w14:paraId="6FC90EEE">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学院成立“评审专家组”（可以分类设置，每组至少包括3位副教授及以上职称专家），对通过资格初审的所有申请者材料进行评审。</w:t>
      </w:r>
    </w:p>
    <w:p w14:paraId="19D0F4F8">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每份申请材料至少由3位专家逐一审核(注：不含报考导师)，分别评分（满分100分），取平均分。平均成绩不合格者（小于60分）不予进入综合考核。</w:t>
      </w:r>
    </w:p>
    <w:p w14:paraId="6DA65B90">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3．导师评审与专家评审成绩均合格者，材料评审成绩（满分100分）=导师评审成绩*50%+专家评审成绩*50%。根据材料评审结果，按报考同一导师成绩排名1:3比例确定入围综合考核的申请者名单，并经学院研究生招生工作领导小组批准后在学院网站公布</w:t>
      </w:r>
      <w:bookmarkStart w:id="1" w:name="OLE_LINK8"/>
      <w:bookmarkStart w:id="2" w:name="OLE_LINK9"/>
      <w:bookmarkStart w:id="3" w:name="OLE_LINK13"/>
      <w:bookmarkStart w:id="4" w:name="OLE_LINK12"/>
      <w:r>
        <w:rPr>
          <w:rFonts w:hint="eastAsia" w:ascii="仿宋" w:hAnsi="仿宋" w:eastAsia="仿宋"/>
          <w:color w:val="auto"/>
          <w:sz w:val="28"/>
          <w:szCs w:val="28"/>
        </w:rPr>
        <w:t>（</w:t>
      </w:r>
      <w:r>
        <w:rPr>
          <w:color w:val="auto"/>
        </w:rPr>
        <w:fldChar w:fldCharType="begin"/>
      </w:r>
      <w:r>
        <w:rPr>
          <w:color w:val="auto"/>
        </w:rPr>
        <w:instrText xml:space="preserve"> HYPERLINK "https://jcyxy.njmu.edu.cn/2180/list.htm" </w:instrText>
      </w:r>
      <w:r>
        <w:rPr>
          <w:color w:val="auto"/>
        </w:rPr>
        <w:fldChar w:fldCharType="separate"/>
      </w:r>
      <w:r>
        <w:rPr>
          <w:rStyle w:val="8"/>
          <w:rFonts w:eastAsia="仿宋"/>
          <w:color w:val="auto"/>
          <w:sz w:val="28"/>
          <w:szCs w:val="28"/>
        </w:rPr>
        <w:t>https://jcyxy.njmu.edu.cn/2180/list.htm</w:t>
      </w:r>
      <w:r>
        <w:rPr>
          <w:rStyle w:val="8"/>
          <w:rFonts w:eastAsia="仿宋"/>
          <w:color w:val="auto"/>
          <w:sz w:val="28"/>
          <w:szCs w:val="28"/>
        </w:rPr>
        <w:fldChar w:fldCharType="end"/>
      </w:r>
      <w:bookmarkEnd w:id="1"/>
      <w:bookmarkEnd w:id="2"/>
      <w:r>
        <w:rPr>
          <w:rFonts w:hint="eastAsia" w:ascii="仿宋" w:hAnsi="仿宋" w:eastAsia="仿宋"/>
          <w:color w:val="auto"/>
          <w:sz w:val="28"/>
          <w:szCs w:val="28"/>
        </w:rPr>
        <w:t>）</w:t>
      </w:r>
      <w:bookmarkEnd w:id="3"/>
      <w:bookmarkEnd w:id="4"/>
      <w:r>
        <w:rPr>
          <w:rFonts w:hint="eastAsia" w:ascii="仿宋" w:hAnsi="仿宋" w:eastAsia="仿宋"/>
          <w:color w:val="auto"/>
          <w:sz w:val="28"/>
          <w:szCs w:val="28"/>
        </w:rPr>
        <w:t>。如有考生放弃，在综合考核启动前，学院可按成绩排名，启动顺位递补工作。</w:t>
      </w:r>
    </w:p>
    <w:p w14:paraId="0676296B">
      <w:pPr>
        <w:spacing w:line="560" w:lineRule="exact"/>
        <w:rPr>
          <w:rFonts w:eastAsia="楷体"/>
          <w:b/>
          <w:bCs/>
          <w:color w:val="auto"/>
          <w:spacing w:val="-4"/>
          <w:sz w:val="28"/>
          <w:szCs w:val="28"/>
        </w:rPr>
      </w:pPr>
      <w:r>
        <w:rPr>
          <w:rFonts w:hint="eastAsia" w:eastAsia="楷体"/>
          <w:b/>
          <w:bCs/>
          <w:color w:val="auto"/>
          <w:spacing w:val="-4"/>
          <w:sz w:val="28"/>
          <w:szCs w:val="28"/>
        </w:rPr>
        <w:t>四、</w:t>
      </w:r>
      <w:r>
        <w:rPr>
          <w:rFonts w:eastAsia="楷体"/>
          <w:b/>
          <w:bCs/>
          <w:color w:val="auto"/>
          <w:spacing w:val="-4"/>
          <w:sz w:val="28"/>
          <w:szCs w:val="28"/>
        </w:rPr>
        <w:t>综合考核</w:t>
      </w:r>
    </w:p>
    <w:p w14:paraId="299F682D">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1.综合考核内容</w:t>
      </w:r>
    </w:p>
    <w:p w14:paraId="17A1A7AA">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根据本学科特点和培养要求，重点考核考生综合运用所学知识的能力、本学科前沿知识及是否具备博士研究生培养的潜能和综合素质，注重考查考生的道德品质、遵纪守法、科学精神、学术道德、专业伦理、诚实守信等方面的情况。</w:t>
      </w:r>
    </w:p>
    <w:p w14:paraId="28874456">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综合考核包括综合笔试（含专业外语、专业课）、实践能力考核和综合答辩。</w:t>
      </w:r>
    </w:p>
    <w:p w14:paraId="182ED360">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2.考核具体要求</w:t>
      </w:r>
    </w:p>
    <w:p w14:paraId="55DB915C">
      <w:pPr>
        <w:spacing w:line="360" w:lineRule="auto"/>
        <w:ind w:firstLine="562" w:firstLineChars="200"/>
        <w:outlineLvl w:val="0"/>
        <w:rPr>
          <w:rFonts w:ascii="仿宋" w:hAnsi="仿宋" w:eastAsia="仿宋"/>
          <w:b/>
          <w:bCs/>
          <w:color w:val="auto"/>
          <w:sz w:val="28"/>
          <w:szCs w:val="28"/>
        </w:rPr>
      </w:pPr>
      <w:r>
        <w:rPr>
          <w:rFonts w:hint="eastAsia" w:ascii="仿宋" w:hAnsi="仿宋" w:eastAsia="仿宋"/>
          <w:b/>
          <w:bCs/>
          <w:color w:val="auto"/>
          <w:sz w:val="28"/>
          <w:szCs w:val="28"/>
        </w:rPr>
        <w:t>（1）综合笔试：（满分100分）</w:t>
      </w:r>
    </w:p>
    <w:p w14:paraId="23BB4C4A">
      <w:pPr>
        <w:spacing w:line="360" w:lineRule="auto"/>
        <w:ind w:firstLine="560" w:firstLineChars="200"/>
        <w:outlineLvl w:val="0"/>
        <w:rPr>
          <w:rFonts w:ascii="仿宋" w:hAnsi="仿宋" w:eastAsia="仿宋" w:cs="仿宋"/>
          <w:color w:val="auto"/>
          <w:sz w:val="28"/>
          <w:szCs w:val="28"/>
          <w:u w:val="single"/>
          <w:shd w:val="clear" w:color="auto" w:fill="FFFFFF"/>
        </w:rPr>
      </w:pPr>
      <w:r>
        <w:rPr>
          <w:rFonts w:hint="eastAsia" w:ascii="仿宋" w:hAnsi="仿宋" w:eastAsia="仿宋" w:cs="仿宋"/>
          <w:color w:val="auto"/>
          <w:sz w:val="28"/>
          <w:szCs w:val="28"/>
          <w:u w:val="single"/>
          <w:shd w:val="clear" w:color="auto" w:fill="FFFFFF"/>
        </w:rPr>
        <w:t>考核形式：闭卷;（学系统一组织）</w:t>
      </w:r>
    </w:p>
    <w:p w14:paraId="766C5E3A">
      <w:pPr>
        <w:pStyle w:val="5"/>
        <w:widowControl/>
        <w:spacing w:beforeAutospacing="0" w:afterAutospacing="0" w:line="375" w:lineRule="atLeast"/>
        <w:ind w:firstLine="560"/>
        <w:rPr>
          <w:rFonts w:ascii="仿宋" w:hAnsi="仿宋" w:eastAsia="仿宋" w:cs="仿宋"/>
          <w:color w:val="auto"/>
          <w:sz w:val="28"/>
          <w:szCs w:val="28"/>
          <w:shd w:val="clear" w:color="auto" w:fill="FFFFFF"/>
        </w:rPr>
      </w:pPr>
      <w:r>
        <w:rPr>
          <w:rFonts w:hint="eastAsia" w:ascii="仿宋" w:hAnsi="仿宋" w:eastAsia="仿宋" w:cs="仿宋"/>
          <w:color w:val="auto"/>
          <w:sz w:val="28"/>
          <w:szCs w:val="28"/>
          <w:u w:val="single"/>
          <w:shd w:val="clear" w:color="auto" w:fill="FFFFFF"/>
        </w:rPr>
        <w:t>考核内容：</w:t>
      </w:r>
      <w:r>
        <w:rPr>
          <w:rFonts w:ascii="Calibri" w:hAnsi="Calibri" w:eastAsia="仿宋" w:cs="Calibri"/>
          <w:color w:val="auto"/>
          <w:sz w:val="28"/>
          <w:szCs w:val="28"/>
          <w:u w:val="single"/>
          <w:shd w:val="clear" w:color="auto" w:fill="FFFFFF"/>
        </w:rPr>
        <w:t>①</w:t>
      </w:r>
      <w:r>
        <w:rPr>
          <w:rFonts w:hint="eastAsia" w:ascii="仿宋" w:hAnsi="仿宋" w:eastAsia="仿宋" w:cs="仿宋"/>
          <w:color w:val="auto"/>
          <w:sz w:val="28"/>
          <w:szCs w:val="28"/>
          <w:u w:val="single"/>
          <w:shd w:val="clear" w:color="auto" w:fill="FFFFFF"/>
        </w:rPr>
        <w:t>专业外语：50分；</w:t>
      </w:r>
      <w:r>
        <w:rPr>
          <w:rFonts w:ascii="Calibri" w:hAnsi="Calibri" w:eastAsia="仿宋" w:cs="Calibri"/>
          <w:color w:val="auto"/>
          <w:sz w:val="28"/>
          <w:szCs w:val="28"/>
          <w:u w:val="single"/>
          <w:shd w:val="clear" w:color="auto" w:fill="FFFFFF"/>
        </w:rPr>
        <w:t>②</w:t>
      </w:r>
      <w:r>
        <w:rPr>
          <w:rFonts w:hint="eastAsia" w:ascii="仿宋" w:hAnsi="仿宋" w:eastAsia="仿宋" w:cs="仿宋"/>
          <w:color w:val="auto"/>
          <w:sz w:val="28"/>
          <w:szCs w:val="28"/>
          <w:u w:val="single"/>
          <w:shd w:val="clear" w:color="auto" w:fill="FFFFFF"/>
        </w:rPr>
        <w:t>专业课：50分</w:t>
      </w:r>
      <w:r>
        <w:rPr>
          <w:rFonts w:hint="eastAsia" w:ascii="仿宋" w:hAnsi="仿宋" w:eastAsia="仿宋" w:cs="仿宋"/>
          <w:color w:val="auto"/>
          <w:sz w:val="28"/>
          <w:szCs w:val="28"/>
          <w:shd w:val="clear" w:color="auto" w:fill="FFFFFF"/>
        </w:rPr>
        <w:t>。</w:t>
      </w:r>
    </w:p>
    <w:p w14:paraId="22465534">
      <w:pPr>
        <w:spacing w:line="360" w:lineRule="auto"/>
        <w:ind w:firstLine="562" w:firstLineChars="200"/>
        <w:outlineLvl w:val="0"/>
        <w:rPr>
          <w:rFonts w:ascii="仿宋" w:hAnsi="仿宋" w:eastAsia="仿宋" w:cs="仿宋"/>
          <w:b/>
          <w:bCs/>
          <w:color w:val="auto"/>
          <w:sz w:val="28"/>
          <w:szCs w:val="28"/>
          <w:shd w:val="clear" w:color="auto" w:fill="FFFFFF"/>
        </w:rPr>
      </w:pPr>
      <w:r>
        <w:rPr>
          <w:rFonts w:hint="eastAsia" w:ascii="仿宋" w:hAnsi="仿宋" w:eastAsia="仿宋" w:cs="仿宋"/>
          <w:b/>
          <w:bCs/>
          <w:color w:val="auto"/>
          <w:sz w:val="28"/>
          <w:szCs w:val="28"/>
          <w:shd w:val="clear" w:color="auto" w:fill="FFFFFF"/>
        </w:rPr>
        <w:t>*</w:t>
      </w:r>
      <w:r>
        <w:rPr>
          <w:rFonts w:ascii="仿宋" w:hAnsi="仿宋" w:eastAsia="仿宋" w:cs="仿宋"/>
          <w:b/>
          <w:bCs/>
          <w:color w:val="auto"/>
          <w:sz w:val="28"/>
          <w:szCs w:val="28"/>
          <w:shd w:val="clear" w:color="auto" w:fill="FFFFFF"/>
        </w:rPr>
        <w:t>具体安排</w:t>
      </w:r>
      <w:r>
        <w:rPr>
          <w:rFonts w:hint="eastAsia" w:ascii="仿宋" w:hAnsi="仿宋" w:eastAsia="仿宋" w:cs="仿宋"/>
          <w:b/>
          <w:bCs/>
          <w:color w:val="auto"/>
          <w:sz w:val="28"/>
          <w:szCs w:val="28"/>
          <w:shd w:val="clear" w:color="auto" w:fill="FFFFFF"/>
        </w:rPr>
        <w:t>（时间、地点）</w:t>
      </w:r>
      <w:r>
        <w:rPr>
          <w:rFonts w:ascii="仿宋" w:hAnsi="仿宋" w:eastAsia="仿宋" w:cs="仿宋"/>
          <w:b/>
          <w:bCs/>
          <w:color w:val="auto"/>
          <w:sz w:val="28"/>
          <w:szCs w:val="28"/>
          <w:shd w:val="clear" w:color="auto" w:fill="FFFFFF"/>
        </w:rPr>
        <w:t>短信或电话</w:t>
      </w:r>
      <w:r>
        <w:rPr>
          <w:rFonts w:hint="eastAsia" w:ascii="仿宋" w:hAnsi="仿宋" w:eastAsia="仿宋" w:cs="仿宋"/>
          <w:b/>
          <w:bCs/>
          <w:color w:val="auto"/>
          <w:sz w:val="28"/>
          <w:szCs w:val="28"/>
          <w:shd w:val="clear" w:color="auto" w:fill="FFFFFF"/>
        </w:rPr>
        <w:t>另行</w:t>
      </w:r>
      <w:r>
        <w:rPr>
          <w:rFonts w:ascii="仿宋" w:hAnsi="仿宋" w:eastAsia="仿宋" w:cs="仿宋"/>
          <w:b/>
          <w:bCs/>
          <w:color w:val="auto"/>
          <w:sz w:val="28"/>
          <w:szCs w:val="28"/>
          <w:shd w:val="clear" w:color="auto" w:fill="FFFFFF"/>
        </w:rPr>
        <w:t>通知。</w:t>
      </w:r>
    </w:p>
    <w:p w14:paraId="33DDF15B">
      <w:pPr>
        <w:numPr>
          <w:ilvl w:val="0"/>
          <w:numId w:val="1"/>
        </w:numPr>
        <w:spacing w:line="360" w:lineRule="auto"/>
        <w:ind w:firstLine="562" w:firstLineChars="200"/>
        <w:outlineLvl w:val="0"/>
        <w:rPr>
          <w:rFonts w:ascii="仿宋" w:hAnsi="仿宋" w:eastAsia="仿宋"/>
          <w:b/>
          <w:bCs/>
          <w:color w:val="auto"/>
          <w:sz w:val="28"/>
          <w:szCs w:val="28"/>
        </w:rPr>
      </w:pPr>
      <w:r>
        <w:rPr>
          <w:rFonts w:hint="eastAsia" w:ascii="仿宋" w:hAnsi="仿宋" w:eastAsia="仿宋"/>
          <w:b/>
          <w:bCs/>
          <w:color w:val="auto"/>
          <w:sz w:val="28"/>
          <w:szCs w:val="28"/>
        </w:rPr>
        <w:t>实践能力考核：（满分100分）</w:t>
      </w:r>
    </w:p>
    <w:p w14:paraId="77B8507D">
      <w:pPr>
        <w:pStyle w:val="5"/>
        <w:widowControl/>
        <w:spacing w:beforeAutospacing="0" w:afterAutospacing="0" w:line="375" w:lineRule="atLeast"/>
        <w:ind w:firstLine="560"/>
        <w:rPr>
          <w:rFonts w:ascii="仿宋" w:hAnsi="仿宋" w:eastAsia="仿宋" w:cs="仿宋"/>
          <w:b/>
          <w:color w:val="auto"/>
          <w:sz w:val="28"/>
          <w:szCs w:val="28"/>
          <w:shd w:val="clear" w:color="auto" w:fill="FFFFFF"/>
        </w:rPr>
      </w:pPr>
      <w:r>
        <w:rPr>
          <w:rFonts w:hint="eastAsia" w:ascii="仿宋" w:hAnsi="仿宋" w:eastAsia="仿宋" w:cs="仿宋"/>
          <w:color w:val="auto"/>
          <w:sz w:val="28"/>
          <w:szCs w:val="28"/>
          <w:shd w:val="clear" w:color="auto" w:fill="FFFFFF"/>
        </w:rPr>
        <w:t>对考生临床或实践技能情况进行考核并评分，鼓励运用多种形式进行实践能力考核。</w:t>
      </w:r>
      <w:r>
        <w:rPr>
          <w:rFonts w:hint="eastAsia" w:ascii="仿宋" w:hAnsi="仿宋" w:eastAsia="仿宋" w:cs="仿宋"/>
          <w:b/>
          <w:color w:val="auto"/>
          <w:sz w:val="28"/>
          <w:szCs w:val="28"/>
          <w:shd w:val="clear" w:color="auto" w:fill="FFFFFF"/>
        </w:rPr>
        <w:t>实践能力考核</w:t>
      </w:r>
      <w:bookmarkStart w:id="5" w:name="OLE_LINK2"/>
      <w:bookmarkStart w:id="6" w:name="OLE_LINK3"/>
      <w:r>
        <w:rPr>
          <w:rFonts w:hint="eastAsia" w:ascii="仿宋" w:hAnsi="仿宋" w:eastAsia="仿宋"/>
          <w:b/>
          <w:color w:val="auto"/>
          <w:sz w:val="28"/>
          <w:szCs w:val="28"/>
        </w:rPr>
        <w:t>成绩不合格（小于60分）不予录取。</w:t>
      </w:r>
      <w:bookmarkEnd w:id="5"/>
      <w:bookmarkEnd w:id="6"/>
    </w:p>
    <w:p w14:paraId="0C03F081">
      <w:pPr>
        <w:pStyle w:val="5"/>
        <w:widowControl/>
        <w:spacing w:beforeAutospacing="0" w:afterAutospacing="0" w:line="375" w:lineRule="atLeast"/>
        <w:ind w:firstLine="560"/>
        <w:rPr>
          <w:rFonts w:ascii="仿宋" w:hAnsi="仿宋" w:eastAsia="仿宋" w:cs="仿宋"/>
          <w:color w:val="auto"/>
          <w:sz w:val="28"/>
          <w:szCs w:val="28"/>
          <w:u w:val="single"/>
          <w:shd w:val="clear" w:color="auto" w:fill="FFFFFF"/>
        </w:rPr>
      </w:pPr>
      <w:r>
        <w:rPr>
          <w:rFonts w:hint="eastAsia" w:ascii="仿宋" w:hAnsi="仿宋" w:eastAsia="仿宋" w:cs="仿宋"/>
          <w:color w:val="auto"/>
          <w:sz w:val="28"/>
          <w:szCs w:val="28"/>
          <w:u w:val="single"/>
          <w:shd w:val="clear" w:color="auto" w:fill="FFFFFF"/>
        </w:rPr>
        <w:t>考核形式和内容：开放性考核</w:t>
      </w:r>
      <w:r>
        <w:rPr>
          <w:rFonts w:ascii="仿宋" w:hAnsi="仿宋" w:eastAsia="仿宋" w:cs="仿宋"/>
          <w:color w:val="auto"/>
          <w:sz w:val="28"/>
          <w:szCs w:val="28"/>
          <w:u w:val="single"/>
          <w:shd w:val="clear" w:color="auto" w:fill="FFFFFF"/>
        </w:rPr>
        <w:t xml:space="preserve"> ，</w:t>
      </w:r>
      <w:r>
        <w:rPr>
          <w:rFonts w:hint="eastAsia" w:ascii="仿宋" w:hAnsi="仿宋" w:eastAsia="仿宋" w:cs="仿宋"/>
          <w:color w:val="auto"/>
          <w:sz w:val="28"/>
          <w:szCs w:val="28"/>
          <w:u w:val="single"/>
          <w:shd w:val="clear" w:color="auto" w:fill="FFFFFF"/>
        </w:rPr>
        <w:t>实验操作、文献汇报、组会讨论等（报</w:t>
      </w:r>
      <w:r>
        <w:rPr>
          <w:rFonts w:ascii="仿宋" w:hAnsi="仿宋" w:eastAsia="仿宋" w:cs="仿宋"/>
          <w:color w:val="auto"/>
          <w:sz w:val="28"/>
          <w:szCs w:val="28"/>
          <w:u w:val="single"/>
          <w:shd w:val="clear" w:color="auto" w:fill="FFFFFF"/>
        </w:rPr>
        <w:t>考导师</w:t>
      </w:r>
      <w:r>
        <w:rPr>
          <w:rFonts w:hint="eastAsia" w:ascii="仿宋" w:hAnsi="仿宋" w:eastAsia="仿宋" w:cs="仿宋"/>
          <w:color w:val="auto"/>
          <w:sz w:val="28"/>
          <w:szCs w:val="28"/>
          <w:u w:val="single"/>
          <w:shd w:val="clear" w:color="auto" w:fill="FFFFFF"/>
        </w:rPr>
        <w:t>或学系统一组织）</w:t>
      </w:r>
    </w:p>
    <w:p w14:paraId="452C2153">
      <w:pPr>
        <w:spacing w:line="360" w:lineRule="auto"/>
        <w:ind w:firstLine="562" w:firstLineChars="200"/>
        <w:outlineLvl w:val="0"/>
        <w:rPr>
          <w:rFonts w:ascii="仿宋" w:hAnsi="仿宋" w:eastAsia="仿宋"/>
          <w:b/>
          <w:bCs/>
          <w:color w:val="auto"/>
          <w:sz w:val="28"/>
          <w:szCs w:val="28"/>
        </w:rPr>
      </w:pPr>
      <w:r>
        <w:rPr>
          <w:rFonts w:hint="eastAsia" w:ascii="仿宋" w:hAnsi="仿宋" w:eastAsia="仿宋" w:cs="仿宋"/>
          <w:b/>
          <w:bCs/>
          <w:color w:val="auto"/>
          <w:sz w:val="28"/>
          <w:szCs w:val="28"/>
          <w:shd w:val="clear" w:color="auto" w:fill="FFFFFF"/>
        </w:rPr>
        <w:t>*</w:t>
      </w:r>
      <w:r>
        <w:rPr>
          <w:rFonts w:ascii="仿宋" w:hAnsi="仿宋" w:eastAsia="仿宋" w:cs="仿宋"/>
          <w:b/>
          <w:bCs/>
          <w:color w:val="auto"/>
          <w:sz w:val="28"/>
          <w:szCs w:val="28"/>
          <w:shd w:val="clear" w:color="auto" w:fill="FFFFFF"/>
        </w:rPr>
        <w:t>具体安排</w:t>
      </w:r>
      <w:r>
        <w:rPr>
          <w:rFonts w:hint="eastAsia" w:ascii="仿宋" w:hAnsi="仿宋" w:eastAsia="仿宋" w:cs="仿宋"/>
          <w:b/>
          <w:bCs/>
          <w:color w:val="auto"/>
          <w:sz w:val="28"/>
          <w:szCs w:val="28"/>
          <w:shd w:val="clear" w:color="auto" w:fill="FFFFFF"/>
        </w:rPr>
        <w:t>（时间、地点）</w:t>
      </w:r>
      <w:r>
        <w:rPr>
          <w:rFonts w:ascii="仿宋" w:hAnsi="仿宋" w:eastAsia="仿宋" w:cs="仿宋"/>
          <w:b/>
          <w:bCs/>
          <w:color w:val="auto"/>
          <w:sz w:val="28"/>
          <w:szCs w:val="28"/>
          <w:shd w:val="clear" w:color="auto" w:fill="FFFFFF"/>
        </w:rPr>
        <w:t>短信或电话</w:t>
      </w:r>
      <w:r>
        <w:rPr>
          <w:rFonts w:hint="eastAsia" w:ascii="仿宋" w:hAnsi="仿宋" w:eastAsia="仿宋" w:cs="仿宋"/>
          <w:b/>
          <w:bCs/>
          <w:color w:val="auto"/>
          <w:sz w:val="28"/>
          <w:szCs w:val="28"/>
          <w:shd w:val="clear" w:color="auto" w:fill="FFFFFF"/>
        </w:rPr>
        <w:t>另行</w:t>
      </w:r>
      <w:r>
        <w:rPr>
          <w:rFonts w:ascii="仿宋" w:hAnsi="仿宋" w:eastAsia="仿宋" w:cs="仿宋"/>
          <w:b/>
          <w:bCs/>
          <w:color w:val="auto"/>
          <w:sz w:val="28"/>
          <w:szCs w:val="28"/>
          <w:shd w:val="clear" w:color="auto" w:fill="FFFFFF"/>
        </w:rPr>
        <w:t>通知。</w:t>
      </w:r>
    </w:p>
    <w:p w14:paraId="4FD57953">
      <w:pPr>
        <w:numPr>
          <w:ilvl w:val="0"/>
          <w:numId w:val="1"/>
        </w:numPr>
        <w:spacing w:line="360" w:lineRule="auto"/>
        <w:ind w:firstLine="562" w:firstLineChars="200"/>
        <w:outlineLvl w:val="0"/>
        <w:rPr>
          <w:rFonts w:ascii="仿宋" w:hAnsi="仿宋" w:eastAsia="仿宋"/>
          <w:b/>
          <w:bCs/>
          <w:color w:val="auto"/>
          <w:sz w:val="28"/>
          <w:szCs w:val="28"/>
        </w:rPr>
      </w:pPr>
      <w:r>
        <w:rPr>
          <w:rFonts w:hint="eastAsia" w:ascii="仿宋" w:hAnsi="仿宋" w:eastAsia="仿宋"/>
          <w:b/>
          <w:bCs/>
          <w:color w:val="auto"/>
          <w:sz w:val="28"/>
          <w:szCs w:val="28"/>
        </w:rPr>
        <w:t>综合答辩：（满分100分）</w:t>
      </w:r>
    </w:p>
    <w:p w14:paraId="5DB7222D">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学院组织成立</w:t>
      </w:r>
      <w:r>
        <w:rPr>
          <w:rFonts w:hint="eastAsia" w:ascii="仿宋" w:hAnsi="仿宋" w:eastAsia="仿宋"/>
          <w:color w:val="auto"/>
          <w:sz w:val="28"/>
          <w:szCs w:val="28"/>
        </w:rPr>
        <w:t>综合答辩专家小组（每组不少于5位副教授及以上职称专家，其中至少3名为博士生导师）对考生逐一考核，每位考生考核时长一般不少于20分钟。报考同一导师的考生由同一综合答辩专家小组进行考核。</w:t>
      </w:r>
      <w:r>
        <w:rPr>
          <w:rFonts w:hint="eastAsia" w:ascii="仿宋" w:hAnsi="仿宋" w:eastAsia="仿宋"/>
          <w:b/>
          <w:color w:val="auto"/>
          <w:sz w:val="28"/>
          <w:szCs w:val="28"/>
        </w:rPr>
        <w:t>综合答辩成绩不合格（小于60分）不予录取。</w:t>
      </w:r>
      <w:r>
        <w:rPr>
          <w:rFonts w:hint="eastAsia" w:ascii="仿宋" w:hAnsi="仿宋" w:eastAsia="仿宋"/>
          <w:color w:val="auto"/>
          <w:sz w:val="28"/>
          <w:szCs w:val="28"/>
        </w:rPr>
        <w:t>综合答辩全程录音录像，学院妥善留存备查。</w:t>
      </w:r>
    </w:p>
    <w:p w14:paraId="06E5C59A">
      <w:pPr>
        <w:pStyle w:val="5"/>
        <w:widowControl/>
        <w:spacing w:beforeAutospacing="0" w:afterAutospacing="0" w:line="375" w:lineRule="atLeast"/>
        <w:ind w:firstLine="560"/>
        <w:rPr>
          <w:rFonts w:ascii="仿宋" w:hAnsi="仿宋" w:eastAsia="仿宋" w:cs="仿宋"/>
          <w:color w:val="auto"/>
          <w:sz w:val="28"/>
          <w:szCs w:val="28"/>
          <w:u w:val="single"/>
          <w:shd w:val="clear" w:color="auto" w:fill="FFFFFF"/>
        </w:rPr>
      </w:pPr>
      <w:r>
        <w:rPr>
          <w:rFonts w:hint="eastAsia" w:ascii="仿宋" w:hAnsi="仿宋" w:eastAsia="仿宋" w:cs="仿宋"/>
          <w:color w:val="auto"/>
          <w:sz w:val="28"/>
          <w:szCs w:val="28"/>
          <w:u w:val="single"/>
          <w:shd w:val="clear" w:color="auto" w:fill="FFFFFF"/>
        </w:rPr>
        <w:t>考核形式和内容：基于既往的学习科研经历及拟开展的博士阶段科研设计以PPT形式进行汇报，专家提问，考生现场作答。</w:t>
      </w:r>
    </w:p>
    <w:p w14:paraId="78E8ECF3">
      <w:pPr>
        <w:spacing w:line="360" w:lineRule="auto"/>
        <w:ind w:firstLine="562" w:firstLineChars="200"/>
        <w:outlineLvl w:val="0"/>
        <w:rPr>
          <w:rFonts w:ascii="仿宋" w:hAnsi="仿宋" w:eastAsia="仿宋"/>
          <w:color w:val="auto"/>
          <w:sz w:val="28"/>
          <w:szCs w:val="28"/>
        </w:rPr>
      </w:pPr>
      <w:r>
        <w:rPr>
          <w:rFonts w:hint="eastAsia" w:ascii="仿宋" w:hAnsi="仿宋" w:eastAsia="仿宋" w:cs="仿宋"/>
          <w:b/>
          <w:bCs/>
          <w:color w:val="auto"/>
          <w:sz w:val="28"/>
          <w:szCs w:val="28"/>
          <w:shd w:val="clear" w:color="auto" w:fill="FFFFFF"/>
        </w:rPr>
        <w:t>*</w:t>
      </w:r>
      <w:r>
        <w:rPr>
          <w:rFonts w:ascii="仿宋" w:hAnsi="仿宋" w:eastAsia="仿宋" w:cs="仿宋"/>
          <w:b/>
          <w:bCs/>
          <w:color w:val="auto"/>
          <w:sz w:val="28"/>
          <w:szCs w:val="28"/>
          <w:shd w:val="clear" w:color="auto" w:fill="FFFFFF"/>
        </w:rPr>
        <w:t>具体安排</w:t>
      </w:r>
      <w:r>
        <w:rPr>
          <w:rFonts w:hint="eastAsia" w:ascii="仿宋" w:hAnsi="仿宋" w:eastAsia="仿宋" w:cs="仿宋"/>
          <w:b/>
          <w:bCs/>
          <w:color w:val="auto"/>
          <w:sz w:val="28"/>
          <w:szCs w:val="28"/>
          <w:shd w:val="clear" w:color="auto" w:fill="FFFFFF"/>
        </w:rPr>
        <w:t>（时间、地点）</w:t>
      </w:r>
      <w:r>
        <w:rPr>
          <w:rFonts w:ascii="仿宋" w:hAnsi="仿宋" w:eastAsia="仿宋" w:cs="仿宋"/>
          <w:b/>
          <w:bCs/>
          <w:color w:val="auto"/>
          <w:sz w:val="28"/>
          <w:szCs w:val="28"/>
          <w:shd w:val="clear" w:color="auto" w:fill="FFFFFF"/>
        </w:rPr>
        <w:t>短信或电话</w:t>
      </w:r>
      <w:r>
        <w:rPr>
          <w:rFonts w:hint="eastAsia" w:ascii="仿宋" w:hAnsi="仿宋" w:eastAsia="仿宋" w:cs="仿宋"/>
          <w:b/>
          <w:bCs/>
          <w:color w:val="auto"/>
          <w:sz w:val="28"/>
          <w:szCs w:val="28"/>
          <w:shd w:val="clear" w:color="auto" w:fill="FFFFFF"/>
        </w:rPr>
        <w:t>另行</w:t>
      </w:r>
      <w:r>
        <w:rPr>
          <w:rFonts w:ascii="仿宋" w:hAnsi="仿宋" w:eastAsia="仿宋" w:cs="仿宋"/>
          <w:b/>
          <w:bCs/>
          <w:color w:val="auto"/>
          <w:sz w:val="28"/>
          <w:szCs w:val="28"/>
          <w:shd w:val="clear" w:color="auto" w:fill="FFFFFF"/>
        </w:rPr>
        <w:t>通知。</w:t>
      </w:r>
    </w:p>
    <w:p w14:paraId="6A6192EA">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3．综合考核成绩（满分100分）=综合笔试*30%+实践能力考核*20%+综合答辩*50%。</w:t>
      </w:r>
    </w:p>
    <w:p w14:paraId="30E226AB">
      <w:pPr>
        <w:spacing w:line="560" w:lineRule="exact"/>
        <w:rPr>
          <w:rFonts w:eastAsia="楷体"/>
          <w:b/>
          <w:bCs/>
          <w:color w:val="auto"/>
          <w:spacing w:val="-4"/>
          <w:sz w:val="28"/>
          <w:szCs w:val="28"/>
        </w:rPr>
      </w:pPr>
      <w:r>
        <w:rPr>
          <w:rFonts w:hint="eastAsia" w:eastAsia="楷体"/>
          <w:b/>
          <w:bCs/>
          <w:color w:val="auto"/>
          <w:spacing w:val="-4"/>
          <w:sz w:val="28"/>
          <w:szCs w:val="28"/>
        </w:rPr>
        <w:t>五、</w:t>
      </w:r>
      <w:r>
        <w:rPr>
          <w:rFonts w:eastAsia="楷体"/>
          <w:b/>
          <w:bCs/>
          <w:color w:val="auto"/>
          <w:spacing w:val="-4"/>
          <w:sz w:val="28"/>
          <w:szCs w:val="28"/>
        </w:rPr>
        <w:t>录取</w:t>
      </w:r>
    </w:p>
    <w:p w14:paraId="38638FA5">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1．考核总成绩（满分100分）=材料评审成绩*30%+综合考核成绩*70%。综合考核</w:t>
      </w:r>
      <w:bookmarkStart w:id="7" w:name="OLE_LINK18"/>
      <w:r>
        <w:rPr>
          <w:rFonts w:hint="eastAsia" w:ascii="仿宋" w:hAnsi="仿宋" w:eastAsia="仿宋"/>
          <w:color w:val="auto"/>
          <w:sz w:val="28"/>
          <w:szCs w:val="28"/>
        </w:rPr>
        <w:t>成绩不合格（小于60分）不予录取。</w:t>
      </w:r>
      <w:bookmarkEnd w:id="7"/>
      <w:r>
        <w:rPr>
          <w:rFonts w:hint="eastAsia" w:ascii="仿宋" w:hAnsi="仿宋" w:eastAsia="仿宋"/>
          <w:color w:val="auto"/>
          <w:sz w:val="28"/>
          <w:szCs w:val="28"/>
        </w:rPr>
        <w:t>思想品德考核不合格不予录取。</w:t>
      </w:r>
    </w:p>
    <w:p w14:paraId="492A1537">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2．根据报考同一导师考生的考核总成绩排名和招生名额，依次确定拟录取名单，经学院研究生招生工作领导小组审议后，在学院网站</w:t>
      </w:r>
      <w:r>
        <w:rPr>
          <w:rFonts w:hint="eastAsia" w:ascii="仿宋" w:hAnsi="仿宋" w:eastAsia="仿宋"/>
          <w:color w:val="auto"/>
          <w:sz w:val="28"/>
          <w:szCs w:val="28"/>
        </w:rPr>
        <w:t>（</w:t>
      </w:r>
      <w:r>
        <w:rPr>
          <w:color w:val="auto"/>
        </w:rPr>
        <w:fldChar w:fldCharType="begin"/>
      </w:r>
      <w:r>
        <w:rPr>
          <w:color w:val="auto"/>
        </w:rPr>
        <w:instrText xml:space="preserve"> HYPERLINK "https://jcyxy.njmu.edu.cn/2180/list.htm" </w:instrText>
      </w:r>
      <w:r>
        <w:rPr>
          <w:color w:val="auto"/>
        </w:rPr>
        <w:fldChar w:fldCharType="separate"/>
      </w:r>
      <w:r>
        <w:rPr>
          <w:rStyle w:val="8"/>
          <w:rFonts w:eastAsia="仿宋"/>
          <w:color w:val="auto"/>
          <w:sz w:val="28"/>
          <w:szCs w:val="28"/>
        </w:rPr>
        <w:t>https://jcyxy.njmu.edu.cn/2180/list.htm</w:t>
      </w:r>
      <w:r>
        <w:rPr>
          <w:rStyle w:val="8"/>
          <w:rFonts w:eastAsia="仿宋"/>
          <w:color w:val="auto"/>
          <w:sz w:val="28"/>
          <w:szCs w:val="28"/>
        </w:rPr>
        <w:fldChar w:fldCharType="end"/>
      </w:r>
      <w:r>
        <w:rPr>
          <w:rFonts w:hint="eastAsia" w:ascii="仿宋" w:hAnsi="仿宋" w:eastAsia="仿宋"/>
          <w:color w:val="auto"/>
          <w:sz w:val="28"/>
          <w:szCs w:val="28"/>
        </w:rPr>
        <w:t>）</w:t>
      </w:r>
      <w:r>
        <w:rPr>
          <w:rFonts w:hint="eastAsia" w:ascii="仿宋" w:hAnsi="仿宋" w:eastAsia="仿宋"/>
          <w:color w:val="auto"/>
          <w:sz w:val="28"/>
          <w:szCs w:val="28"/>
        </w:rPr>
        <w:t>公布申请人考核成绩、拟录取情况等。</w:t>
      </w:r>
    </w:p>
    <w:p w14:paraId="17CE1F21">
      <w:pPr>
        <w:spacing w:line="360" w:lineRule="auto"/>
        <w:ind w:firstLine="560" w:firstLineChars="200"/>
        <w:outlineLvl w:val="0"/>
        <w:rPr>
          <w:rFonts w:ascii="仿宋" w:hAnsi="仿宋" w:eastAsia="仿宋" w:cs="仿宋"/>
          <w:color w:val="auto"/>
          <w:sz w:val="28"/>
          <w:szCs w:val="28"/>
          <w:shd w:val="clear" w:color="auto" w:fill="FFFFFF"/>
        </w:rPr>
      </w:pPr>
      <w:r>
        <w:rPr>
          <w:rFonts w:hint="eastAsia" w:ascii="仿宋" w:hAnsi="仿宋" w:eastAsia="仿宋"/>
          <w:color w:val="auto"/>
          <w:sz w:val="28"/>
          <w:szCs w:val="28"/>
        </w:rPr>
        <w:t>3．学院将考核结果及拟录取名单上报研究生院，经研究生院审核通过后，在学校研究生招生网上统一公示。</w:t>
      </w:r>
      <w:r>
        <w:rPr>
          <w:rFonts w:ascii="仿宋" w:hAnsi="仿宋" w:eastAsia="仿宋" w:cs="仿宋"/>
          <w:b/>
          <w:bCs/>
          <w:color w:val="auto"/>
          <w:sz w:val="28"/>
          <w:szCs w:val="28"/>
          <w:shd w:val="clear" w:color="auto" w:fill="FFFFFF"/>
        </w:rPr>
        <w:t>如有考生放弃拟录取资格，可按</w:t>
      </w:r>
      <w:r>
        <w:rPr>
          <w:rFonts w:hint="eastAsia" w:ascii="仿宋" w:hAnsi="仿宋" w:eastAsia="仿宋" w:cs="仿宋"/>
          <w:b/>
          <w:bCs/>
          <w:color w:val="auto"/>
          <w:sz w:val="28"/>
          <w:szCs w:val="28"/>
          <w:shd w:val="clear" w:color="auto" w:fill="FFFFFF"/>
        </w:rPr>
        <w:t>考核总</w:t>
      </w:r>
      <w:r>
        <w:rPr>
          <w:rFonts w:ascii="仿宋" w:hAnsi="仿宋" w:eastAsia="仿宋" w:cs="仿宋"/>
          <w:b/>
          <w:bCs/>
          <w:color w:val="auto"/>
          <w:sz w:val="28"/>
          <w:szCs w:val="28"/>
          <w:shd w:val="clear" w:color="auto" w:fill="FFFFFF"/>
        </w:rPr>
        <w:t>成绩排名</w:t>
      </w:r>
      <w:r>
        <w:rPr>
          <w:rFonts w:hint="eastAsia" w:ascii="仿宋" w:hAnsi="仿宋" w:eastAsia="仿宋" w:cs="仿宋"/>
          <w:b/>
          <w:bCs/>
          <w:color w:val="auto"/>
          <w:sz w:val="28"/>
          <w:szCs w:val="28"/>
          <w:shd w:val="clear" w:color="auto" w:fill="FFFFFF"/>
        </w:rPr>
        <w:t>启动</w:t>
      </w:r>
      <w:r>
        <w:rPr>
          <w:rFonts w:ascii="仿宋" w:hAnsi="仿宋" w:eastAsia="仿宋" w:cs="仿宋"/>
          <w:b/>
          <w:bCs/>
          <w:color w:val="auto"/>
          <w:sz w:val="28"/>
          <w:szCs w:val="28"/>
          <w:shd w:val="clear" w:color="auto" w:fill="FFFFFF"/>
        </w:rPr>
        <w:t>顺位</w:t>
      </w:r>
      <w:r>
        <w:rPr>
          <w:rFonts w:hint="eastAsia" w:ascii="仿宋" w:hAnsi="仿宋" w:eastAsia="仿宋" w:cs="仿宋"/>
          <w:b/>
          <w:bCs/>
          <w:color w:val="auto"/>
          <w:sz w:val="28"/>
          <w:szCs w:val="28"/>
          <w:shd w:val="clear" w:color="auto" w:fill="FFFFFF"/>
        </w:rPr>
        <w:t>递</w:t>
      </w:r>
      <w:r>
        <w:rPr>
          <w:rFonts w:ascii="仿宋" w:hAnsi="仿宋" w:eastAsia="仿宋" w:cs="仿宋"/>
          <w:b/>
          <w:bCs/>
          <w:color w:val="auto"/>
          <w:sz w:val="28"/>
          <w:szCs w:val="28"/>
          <w:shd w:val="clear" w:color="auto" w:fill="FFFFFF"/>
        </w:rPr>
        <w:t>补</w:t>
      </w:r>
      <w:r>
        <w:rPr>
          <w:rFonts w:hint="eastAsia" w:ascii="仿宋" w:hAnsi="仿宋" w:eastAsia="仿宋" w:cs="仿宋"/>
          <w:b/>
          <w:bCs/>
          <w:color w:val="auto"/>
          <w:sz w:val="28"/>
          <w:szCs w:val="28"/>
          <w:shd w:val="clear" w:color="auto" w:fill="FFFFFF"/>
        </w:rPr>
        <w:t>程序</w:t>
      </w:r>
      <w:r>
        <w:rPr>
          <w:rFonts w:ascii="仿宋" w:hAnsi="仿宋" w:eastAsia="仿宋" w:cs="仿宋"/>
          <w:color w:val="auto"/>
          <w:sz w:val="28"/>
          <w:szCs w:val="28"/>
          <w:shd w:val="clear" w:color="auto" w:fill="FFFFFF"/>
        </w:rPr>
        <w:t>。</w:t>
      </w:r>
    </w:p>
    <w:p w14:paraId="6C4226B7">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4. 拟录取名单公示</w:t>
      </w:r>
      <w:r>
        <w:rPr>
          <w:rFonts w:ascii="仿宋" w:hAnsi="仿宋" w:eastAsia="仿宋"/>
          <w:color w:val="auto"/>
          <w:sz w:val="28"/>
          <w:szCs w:val="28"/>
        </w:rPr>
        <w:t>10个工作日。公示无异议后，上报教育部审批通过后由研究生院发放正式录取通知书</w:t>
      </w:r>
      <w:r>
        <w:rPr>
          <w:rFonts w:hint="eastAsia" w:ascii="仿宋" w:hAnsi="仿宋" w:eastAsia="仿宋"/>
          <w:color w:val="auto"/>
          <w:sz w:val="28"/>
          <w:szCs w:val="28"/>
        </w:rPr>
        <w:t>。</w:t>
      </w:r>
    </w:p>
    <w:p w14:paraId="292F8467">
      <w:pPr>
        <w:pStyle w:val="2"/>
        <w:spacing w:line="560" w:lineRule="exact"/>
        <w:ind w:firstLine="0"/>
        <w:rPr>
          <w:rFonts w:eastAsia="仿宋"/>
          <w:b/>
          <w:bCs/>
          <w:color w:val="auto"/>
          <w:spacing w:val="5"/>
          <w:sz w:val="28"/>
          <w:szCs w:val="28"/>
        </w:rPr>
      </w:pPr>
      <w:r>
        <w:rPr>
          <w:rFonts w:hint="eastAsia" w:eastAsia="仿宋"/>
          <w:b/>
          <w:bCs/>
          <w:color w:val="auto"/>
          <w:spacing w:val="5"/>
          <w:sz w:val="28"/>
          <w:szCs w:val="28"/>
        </w:rPr>
        <w:t>六、监督保障机制</w:t>
      </w:r>
    </w:p>
    <w:p w14:paraId="664F2FD2">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成立学院博士研究生招生监察小组，对“申请-考核”制招生选拔进行全过程监察督导。对于招生过程中出现徇私舞弊、滥用职权的人员，一经查实将按国家和学校有关规定严肃处理；对于弄虚作假、违反考试纪律的考生，一经查实将永久取消其报考南京医科大学博士研究生资格，已被录取者将被取消入学资格。</w:t>
      </w:r>
    </w:p>
    <w:p w14:paraId="58CE60D4">
      <w:pPr>
        <w:spacing w:line="360" w:lineRule="auto"/>
        <w:ind w:firstLine="560" w:firstLineChars="200"/>
        <w:outlineLvl w:val="0"/>
        <w:rPr>
          <w:rFonts w:ascii="仿宋" w:hAnsi="仿宋" w:eastAsia="仿宋"/>
          <w:color w:val="auto"/>
          <w:sz w:val="28"/>
          <w:szCs w:val="28"/>
        </w:rPr>
      </w:pPr>
      <w:r>
        <w:rPr>
          <w:rFonts w:hint="eastAsia" w:ascii="仿宋" w:hAnsi="仿宋" w:eastAsia="仿宋"/>
          <w:color w:val="auto"/>
          <w:sz w:val="28"/>
          <w:szCs w:val="28"/>
        </w:rPr>
        <w:t>凡对录取结果持有异议的考生或导师，可在公示期间进行申诉。申诉人向学院研究生招生工作领导小组提交书面申诉书及有关证明材料，学院及时处理并将复议结果告知申诉人，有关材料存档备案；如对院级处理结果不服，可在院级处理结果下达后5个工作日内向学校研究生院和纪检监察部门进行申诉。学院招生监督电话（或申诉邮箱</w:t>
      </w:r>
      <w:r>
        <w:rPr>
          <w:rFonts w:hint="eastAsia" w:ascii="仿宋" w:hAnsi="仿宋" w:eastAsia="仿宋"/>
          <w:color w:val="auto"/>
          <w:sz w:val="28"/>
          <w:szCs w:val="28"/>
        </w:rPr>
        <w:t>）</w:t>
      </w:r>
      <w:r>
        <w:rPr>
          <w:rFonts w:hint="eastAsia" w:ascii="仿宋" w:hAnsi="仿宋" w:eastAsia="仿宋"/>
          <w:color w:val="auto"/>
          <w:sz w:val="28"/>
          <w:szCs w:val="28"/>
        </w:rPr>
        <w:t>：</w:t>
      </w:r>
      <w:r>
        <w:rPr>
          <w:rFonts w:hint="eastAsia" w:ascii="仿宋" w:hAnsi="仿宋" w:eastAsia="仿宋" w:cs="仿宋"/>
          <w:color w:val="auto"/>
          <w:sz w:val="28"/>
          <w:szCs w:val="28"/>
          <w:shd w:val="clear" w:color="auto" w:fill="FFFFFF"/>
        </w:rPr>
        <w:t>025-86869323</w:t>
      </w:r>
    </w:p>
    <w:p w14:paraId="4107FA55">
      <w:pPr>
        <w:pStyle w:val="2"/>
        <w:spacing w:line="560" w:lineRule="exact"/>
        <w:ind w:firstLine="0"/>
        <w:rPr>
          <w:rFonts w:eastAsia="仿宋"/>
          <w:b/>
          <w:bCs/>
          <w:color w:val="auto"/>
          <w:spacing w:val="5"/>
          <w:sz w:val="28"/>
          <w:szCs w:val="28"/>
        </w:rPr>
      </w:pPr>
      <w:r>
        <w:rPr>
          <w:rFonts w:hint="eastAsia" w:eastAsia="仿宋"/>
          <w:b/>
          <w:bCs/>
          <w:color w:val="auto"/>
          <w:spacing w:val="5"/>
          <w:sz w:val="28"/>
          <w:szCs w:val="28"/>
        </w:rPr>
        <w:t>七、</w:t>
      </w:r>
      <w:r>
        <w:rPr>
          <w:rFonts w:eastAsia="仿宋"/>
          <w:b/>
          <w:bCs/>
          <w:color w:val="auto"/>
          <w:spacing w:val="5"/>
          <w:sz w:val="28"/>
          <w:szCs w:val="28"/>
        </w:rPr>
        <w:t>本细则由学院负责解释，如遇上级部门新政策文件，学院将做相应调整。</w:t>
      </w:r>
    </w:p>
    <w:p w14:paraId="497C3D00">
      <w:pPr>
        <w:pStyle w:val="2"/>
        <w:spacing w:line="560" w:lineRule="exact"/>
        <w:ind w:firstLine="0"/>
        <w:rPr>
          <w:rFonts w:eastAsia="仿宋"/>
          <w:b/>
          <w:bCs/>
          <w:color w:val="auto"/>
          <w:spacing w:val="5"/>
          <w:sz w:val="28"/>
          <w:szCs w:val="28"/>
        </w:rPr>
      </w:pPr>
      <w:r>
        <w:rPr>
          <w:rFonts w:hint="eastAsia" w:eastAsia="仿宋"/>
          <w:b/>
          <w:bCs/>
          <w:color w:val="auto"/>
          <w:spacing w:val="5"/>
          <w:sz w:val="28"/>
          <w:szCs w:val="28"/>
        </w:rPr>
        <w:t>八、联系方式</w:t>
      </w:r>
    </w:p>
    <w:p w14:paraId="7627AA8F">
      <w:pPr>
        <w:pStyle w:val="5"/>
        <w:widowControl/>
        <w:spacing w:beforeAutospacing="0" w:afterAutospacing="0" w:line="375" w:lineRule="atLeast"/>
        <w:ind w:firstLine="56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办公地点：学海楼A410</w:t>
      </w:r>
    </w:p>
    <w:p w14:paraId="52067D46">
      <w:pPr>
        <w:pStyle w:val="5"/>
        <w:widowControl/>
        <w:spacing w:beforeAutospacing="0" w:afterAutospacing="0" w:line="375" w:lineRule="atLeast"/>
        <w:ind w:firstLine="560"/>
        <w:rPr>
          <w:rFonts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联系人：王老师、徐老师</w:t>
      </w:r>
    </w:p>
    <w:p w14:paraId="3C56D8DE">
      <w:pPr>
        <w:pStyle w:val="5"/>
        <w:widowControl/>
        <w:spacing w:beforeAutospacing="0" w:afterAutospacing="0" w:line="375" w:lineRule="atLeast"/>
        <w:ind w:firstLine="560"/>
        <w:rPr>
          <w:rFonts w:eastAsia="仿宋"/>
          <w:color w:val="auto"/>
        </w:rPr>
      </w:pPr>
      <w:r>
        <w:rPr>
          <w:rFonts w:hint="eastAsia" w:ascii="仿宋" w:hAnsi="仿宋" w:eastAsia="仿宋" w:cs="仿宋"/>
          <w:color w:val="auto"/>
          <w:sz w:val="28"/>
          <w:szCs w:val="28"/>
          <w:shd w:val="clear" w:color="auto" w:fill="FFFFFF"/>
        </w:rPr>
        <w:t>咨询电话</w:t>
      </w:r>
      <w:r>
        <w:rPr>
          <w:rFonts w:ascii="仿宋" w:hAnsi="仿宋" w:eastAsia="仿宋" w:cs="仿宋"/>
          <w:color w:val="auto"/>
          <w:sz w:val="28"/>
          <w:szCs w:val="28"/>
          <w:shd w:val="clear" w:color="auto" w:fill="FFFFFF"/>
        </w:rPr>
        <w:t>：</w:t>
      </w:r>
      <w:r>
        <w:rPr>
          <w:rFonts w:hint="eastAsia" w:ascii="仿宋" w:hAnsi="仿宋" w:eastAsia="仿宋" w:cs="仿宋"/>
          <w:color w:val="auto"/>
          <w:sz w:val="28"/>
          <w:szCs w:val="28"/>
          <w:shd w:val="clear" w:color="auto" w:fill="FFFFFF"/>
        </w:rPr>
        <w:t>025-86869322</w:t>
      </w:r>
    </w:p>
    <w:p w14:paraId="671FF0A7">
      <w:pPr>
        <w:pStyle w:val="5"/>
        <w:widowControl/>
        <w:spacing w:beforeAutospacing="0" w:afterAutospacing="0" w:line="375" w:lineRule="atLeast"/>
        <w:ind w:firstLine="560"/>
        <w:rPr>
          <w:rFonts w:eastAsia="仿宋"/>
          <w:b/>
          <w:bCs/>
          <w:color w:val="auto"/>
          <w:spacing w:val="5"/>
          <w:sz w:val="28"/>
          <w:szCs w:val="28"/>
        </w:rPr>
      </w:pPr>
      <w:r>
        <w:rPr>
          <w:rFonts w:hint="eastAsia" w:ascii="仿宋" w:hAnsi="仿宋" w:eastAsia="仿宋" w:cs="仿宋"/>
          <w:color w:val="auto"/>
          <w:sz w:val="28"/>
          <w:szCs w:val="28"/>
          <w:shd w:val="clear" w:color="auto" w:fill="FFFFFF"/>
        </w:rPr>
        <w:t>邮箱：</w:t>
      </w:r>
      <w:r>
        <w:rPr>
          <w:rFonts w:hint="eastAsia" w:ascii="仿宋" w:hAnsi="仿宋" w:eastAsia="仿宋"/>
          <w:color w:val="auto"/>
          <w:sz w:val="28"/>
          <w:szCs w:val="28"/>
        </w:rPr>
        <w:t>jcxy@njmu.edu.cn</w:t>
      </w:r>
    </w:p>
    <w:p w14:paraId="46C4BC66">
      <w:pPr>
        <w:pStyle w:val="5"/>
        <w:widowControl/>
        <w:spacing w:beforeAutospacing="0" w:afterAutospacing="0" w:line="375" w:lineRule="atLeast"/>
        <w:ind w:firstLine="560"/>
        <w:rPr>
          <w:rFonts w:ascii="仿宋" w:hAnsi="仿宋" w:eastAsia="仿宋" w:cs="仿宋"/>
          <w:color w:val="auto"/>
          <w:sz w:val="28"/>
          <w:szCs w:val="28"/>
          <w:shd w:val="clear" w:color="auto" w:fill="FFFFFF"/>
        </w:rPr>
      </w:pPr>
    </w:p>
    <w:p w14:paraId="05836234">
      <w:pPr>
        <w:pStyle w:val="2"/>
        <w:spacing w:line="560" w:lineRule="exact"/>
        <w:ind w:firstLine="0"/>
        <w:rPr>
          <w:rFonts w:eastAsia="仿宋"/>
          <w:b/>
          <w:bCs/>
          <w:color w:val="auto"/>
          <w:spacing w:val="5"/>
          <w:sz w:val="28"/>
          <w:szCs w:val="28"/>
        </w:rPr>
      </w:pPr>
    </w:p>
    <w:p w14:paraId="40F1B1D0">
      <w:pPr>
        <w:spacing w:line="360" w:lineRule="auto"/>
        <w:ind w:firstLine="560" w:firstLineChars="200"/>
        <w:jc w:val="right"/>
        <w:rPr>
          <w:rFonts w:ascii="仿宋" w:hAnsi="仿宋" w:eastAsia="仿宋"/>
          <w:color w:val="auto"/>
          <w:sz w:val="28"/>
          <w:szCs w:val="28"/>
        </w:rPr>
      </w:pPr>
      <w:r>
        <w:rPr>
          <w:rFonts w:hint="eastAsia" w:ascii="仿宋" w:hAnsi="仿宋" w:eastAsia="仿宋"/>
          <w:color w:val="auto"/>
          <w:sz w:val="28"/>
          <w:szCs w:val="28"/>
        </w:rPr>
        <w:t>基础医学院</w:t>
      </w:r>
    </w:p>
    <w:p w14:paraId="47C3D7EC">
      <w:pPr>
        <w:spacing w:line="360" w:lineRule="auto"/>
        <w:ind w:firstLine="560" w:firstLineChars="200"/>
        <w:jc w:val="right"/>
        <w:rPr>
          <w:rFonts w:ascii="仿宋" w:hAnsi="仿宋" w:eastAsia="仿宋"/>
          <w:color w:val="auto"/>
          <w:sz w:val="28"/>
          <w:szCs w:val="28"/>
        </w:rPr>
      </w:pPr>
      <w:r>
        <w:rPr>
          <w:rFonts w:hint="eastAsia" w:ascii="仿宋" w:hAnsi="仿宋" w:eastAsia="仿宋"/>
          <w:color w:val="auto"/>
          <w:sz w:val="28"/>
          <w:szCs w:val="28"/>
        </w:rPr>
        <w:t>2025年11月21日</w:t>
      </w:r>
    </w:p>
    <w:p w14:paraId="0D907AA6">
      <w:pPr>
        <w:spacing w:line="360" w:lineRule="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992F39A-E63E-4CB0-8E13-DDB2610EC081}"/>
  </w:font>
  <w:font w:name="方正小标宋简体">
    <w:panose1 w:val="02000000000000000000"/>
    <w:charset w:val="86"/>
    <w:family w:val="auto"/>
    <w:pitch w:val="default"/>
    <w:sig w:usb0="00000001" w:usb1="08000000" w:usb2="00000000" w:usb3="00000000" w:csb0="00040000" w:csb1="00000000"/>
    <w:embedRegular r:id="rId2" w:fontKey="{4DA6A30B-1561-42A9-BC45-9D88430D5A23}"/>
  </w:font>
  <w:font w:name="仿宋">
    <w:panose1 w:val="02010609060101010101"/>
    <w:charset w:val="86"/>
    <w:family w:val="modern"/>
    <w:pitch w:val="default"/>
    <w:sig w:usb0="800002BF" w:usb1="38CF7CFA" w:usb2="00000016" w:usb3="00000000" w:csb0="00040001" w:csb1="00000000"/>
    <w:embedRegular r:id="rId3" w:fontKey="{9FC396ED-BA5C-4CFE-BBE9-0657C77779F4}"/>
  </w:font>
  <w:font w:name="楷体">
    <w:panose1 w:val="02010609060101010101"/>
    <w:charset w:val="86"/>
    <w:family w:val="modern"/>
    <w:pitch w:val="default"/>
    <w:sig w:usb0="800002BF" w:usb1="38CF7CFA" w:usb2="00000016" w:usb3="00000000" w:csb0="00040001" w:csb1="00000000"/>
    <w:embedRegular r:id="rId4" w:fontKey="{56942A21-2C90-46A6-9165-5DE3C185617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D70B7"/>
    <w:multiLevelType w:val="singleLevel"/>
    <w:tmpl w:val="7FFD70B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VmMTMzOWZjZDViOThlMTRhYjc4NTUxNjZmYmZjYjcifQ=="/>
  </w:docVars>
  <w:rsids>
    <w:rsidRoot w:val="318D17D3"/>
    <w:rsid w:val="00015110"/>
    <w:rsid w:val="002D754A"/>
    <w:rsid w:val="0039199A"/>
    <w:rsid w:val="003D619E"/>
    <w:rsid w:val="003D7EE6"/>
    <w:rsid w:val="00450072"/>
    <w:rsid w:val="00685CC7"/>
    <w:rsid w:val="00854DEE"/>
    <w:rsid w:val="00996068"/>
    <w:rsid w:val="00C8171E"/>
    <w:rsid w:val="00CD0AB5"/>
    <w:rsid w:val="00E75AC5"/>
    <w:rsid w:val="059C3944"/>
    <w:rsid w:val="06B036DE"/>
    <w:rsid w:val="232B2612"/>
    <w:rsid w:val="318D17D3"/>
    <w:rsid w:val="379522F8"/>
    <w:rsid w:val="37D55D10"/>
    <w:rsid w:val="3E72386C"/>
    <w:rsid w:val="58B95E71"/>
    <w:rsid w:val="5A9864E0"/>
    <w:rsid w:val="62030C7C"/>
    <w:rsid w:val="7C894D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2072</Words>
  <Characters>2283</Characters>
  <Lines>17</Lines>
  <Paragraphs>4</Paragraphs>
  <TotalTime>36</TotalTime>
  <ScaleCrop>false</ScaleCrop>
  <LinksUpToDate>false</LinksUpToDate>
  <CharactersWithSpaces>2285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2024-11-20T05:08:00Z</dcterms:created>
  <dc:creator>时遇</dc:creator>
  <cp:lastModifiedBy>熙凡</cp:lastModifiedBy>
  <dcterms:modified xsi:type="dcterms:W3CDTF">2025-12-22T10:11:48Z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0B9C44B392144F0CAA897DF7DFE9542E_11</vt:lpwstr>
  </property>
  <property fmtid="{D5CDD505-2E9C-101B-9397-08002B2CF9AE}" pid="4" name="KSOTemplateDocerSaveRecord">
    <vt:lpwstr>eyJoZGlkIjoiODQ0NjExOGE2OTg3MThkMGE0ZjdjOTZiMWVkODZiMGEiLCJ1c2VySWQiOiI0MzMzMjUwNjYifQ==</vt:lpwstr>
  </property>
</Properties>
</file>